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00137" w14:textId="604D7891" w:rsidR="00A8240D" w:rsidRPr="00A8240D" w:rsidRDefault="00A8240D" w:rsidP="00A8240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2"/>
          <w:szCs w:val="20"/>
        </w:rPr>
      </w:pPr>
      <w:r w:rsidRPr="00A8240D">
        <w:rPr>
          <w:rFonts w:ascii="Arial" w:hAnsi="Arial" w:cs="Arial"/>
          <w:b/>
          <w:bCs/>
          <w:sz w:val="22"/>
          <w:szCs w:val="20"/>
        </w:rPr>
        <w:t>3GPP TSG RAN WG1 #103-e</w:t>
      </w:r>
      <w:r w:rsidRPr="00A8240D">
        <w:rPr>
          <w:rFonts w:ascii="Arial" w:hAnsi="Arial" w:cs="Arial"/>
          <w:b/>
          <w:bCs/>
          <w:sz w:val="22"/>
          <w:szCs w:val="20"/>
        </w:rPr>
        <w:tab/>
      </w:r>
      <w:r w:rsidRPr="00A8240D">
        <w:rPr>
          <w:rFonts w:ascii="Arial" w:hAnsi="Arial" w:cs="Arial"/>
          <w:b/>
          <w:bCs/>
          <w:sz w:val="22"/>
          <w:szCs w:val="20"/>
        </w:rPr>
        <w:tab/>
      </w:r>
      <w:r w:rsidR="008C79C4" w:rsidRPr="008C79C4">
        <w:rPr>
          <w:rFonts w:ascii="Arial" w:hAnsi="Arial" w:cs="Arial"/>
          <w:b/>
          <w:bCs/>
          <w:sz w:val="22"/>
          <w:szCs w:val="20"/>
        </w:rPr>
        <w:t>R1-200856</w:t>
      </w:r>
      <w:r w:rsidR="00B00448">
        <w:rPr>
          <w:rFonts w:ascii="Arial" w:hAnsi="Arial" w:cs="Arial"/>
          <w:b/>
          <w:bCs/>
          <w:sz w:val="22"/>
          <w:szCs w:val="20"/>
        </w:rPr>
        <w:t>7</w:t>
      </w:r>
      <w:r w:rsidR="008C79C4" w:rsidRPr="008C79C4">
        <w:rPr>
          <w:rFonts w:ascii="Arial" w:hAnsi="Arial" w:cs="Arial"/>
          <w:b/>
          <w:bCs/>
          <w:sz w:val="22"/>
          <w:szCs w:val="20"/>
        </w:rPr>
        <w:t xml:space="preserve">     </w:t>
      </w:r>
    </w:p>
    <w:p w14:paraId="1F0B5EA5" w14:textId="77777777" w:rsidR="00A8240D" w:rsidRPr="00A8240D" w:rsidRDefault="00A8240D" w:rsidP="00A8240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0"/>
          <w:lang w:eastAsia="ja-JP"/>
        </w:rPr>
      </w:pPr>
      <w:r w:rsidRPr="00A8240D">
        <w:rPr>
          <w:rFonts w:ascii="Arial" w:eastAsia="MS Mincho" w:hAnsi="Arial" w:cs="Arial"/>
          <w:b/>
          <w:bCs/>
          <w:sz w:val="22"/>
          <w:szCs w:val="20"/>
          <w:lang w:eastAsia="ja-JP"/>
        </w:rPr>
        <w:t>e-Meeting, October 26</w:t>
      </w:r>
      <w:r w:rsidRPr="00A8240D">
        <w:rPr>
          <w:rFonts w:ascii="Arial" w:eastAsia="MS Mincho" w:hAnsi="Arial" w:cs="Arial"/>
          <w:b/>
          <w:bCs/>
          <w:sz w:val="22"/>
          <w:szCs w:val="20"/>
          <w:vertAlign w:val="superscript"/>
          <w:lang w:eastAsia="ja-JP"/>
        </w:rPr>
        <w:t>th</w:t>
      </w:r>
      <w:r w:rsidRPr="00A8240D">
        <w:rPr>
          <w:rFonts w:ascii="Arial" w:eastAsia="MS Mincho" w:hAnsi="Arial" w:cs="Arial"/>
          <w:b/>
          <w:bCs/>
          <w:sz w:val="22"/>
          <w:szCs w:val="20"/>
          <w:lang w:eastAsia="ja-JP"/>
        </w:rPr>
        <w:t xml:space="preserve"> – November 13</w:t>
      </w:r>
      <w:r w:rsidRPr="00A8240D">
        <w:rPr>
          <w:rFonts w:ascii="Arial" w:eastAsia="MS Mincho" w:hAnsi="Arial" w:cs="Arial"/>
          <w:b/>
          <w:bCs/>
          <w:sz w:val="22"/>
          <w:szCs w:val="20"/>
          <w:vertAlign w:val="superscript"/>
          <w:lang w:eastAsia="ja-JP"/>
        </w:rPr>
        <w:t>th</w:t>
      </w:r>
      <w:r w:rsidRPr="00A8240D">
        <w:rPr>
          <w:rFonts w:ascii="Arial" w:eastAsia="MS Mincho" w:hAnsi="Arial" w:cs="Arial"/>
          <w:b/>
          <w:bCs/>
          <w:sz w:val="22"/>
          <w:szCs w:val="20"/>
          <w:lang w:eastAsia="ja-JP"/>
        </w:rPr>
        <w:t>, 2020</w:t>
      </w:r>
    </w:p>
    <w:p w14:paraId="6E4CAB95" w14:textId="77777777" w:rsidR="004C17F6" w:rsidRPr="000833FA" w:rsidRDefault="004C17F6" w:rsidP="004C17F6">
      <w:pPr>
        <w:pStyle w:val="Header"/>
      </w:pPr>
    </w:p>
    <w:p w14:paraId="0E5F5344" w14:textId="77777777" w:rsidR="004C17F6" w:rsidRPr="0003368D" w:rsidRDefault="004C17F6" w:rsidP="004C17F6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7A0A0CF9" w14:textId="02CA94BD" w:rsidR="004C17F6" w:rsidRPr="00E220C0" w:rsidRDefault="004C17F6" w:rsidP="004C17F6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3A548D">
        <w:t xml:space="preserve">Maintenance for </w:t>
      </w:r>
      <w:r w:rsidR="00B00448">
        <w:t>other MR-DC topics</w:t>
      </w:r>
    </w:p>
    <w:p w14:paraId="6EA0B247" w14:textId="711F8BCB" w:rsidR="004C17F6" w:rsidRPr="00E220C0" w:rsidRDefault="004C17F6" w:rsidP="004C17F6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3A548D">
        <w:t>7.2.</w:t>
      </w:r>
      <w:r w:rsidR="00B00448">
        <w:t>10</w:t>
      </w:r>
    </w:p>
    <w:p w14:paraId="25E43785" w14:textId="77777777" w:rsidR="004C17F6" w:rsidRPr="0003368D" w:rsidRDefault="004C17F6" w:rsidP="004C17F6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3F32A82E" w14:textId="77777777" w:rsidR="004C17F6" w:rsidRPr="002100D2" w:rsidRDefault="004C17F6" w:rsidP="004C17F6">
      <w:pPr>
        <w:pBdr>
          <w:bottom w:val="single" w:sz="4" w:space="1" w:color="auto"/>
        </w:pBdr>
        <w:tabs>
          <w:tab w:val="left" w:pos="2552"/>
        </w:tabs>
      </w:pPr>
    </w:p>
    <w:p w14:paraId="156AD5C3" w14:textId="700EB475" w:rsidR="004C17F6" w:rsidRDefault="004C17F6" w:rsidP="004C17F6">
      <w:pPr>
        <w:pStyle w:val="Heading1"/>
        <w:spacing w:before="180"/>
        <w:ind w:left="562" w:hanging="562"/>
      </w:pPr>
      <w:r>
        <w:t>Introduction</w:t>
      </w:r>
    </w:p>
    <w:p w14:paraId="45D4C0FF" w14:textId="617C5644" w:rsidR="00F50AFE" w:rsidRPr="00E537D4" w:rsidRDefault="00534884" w:rsidP="00E537D4">
      <w:pPr>
        <w:pStyle w:val="BodyText"/>
      </w:pPr>
      <w:r>
        <w:t xml:space="preserve">This document </w:t>
      </w:r>
      <w:r w:rsidR="00016B77">
        <w:t>discusses</w:t>
      </w:r>
      <w:r>
        <w:t xml:space="preserve"> </w:t>
      </w:r>
      <w:r w:rsidR="00861678">
        <w:t>some</w:t>
      </w:r>
      <w:r>
        <w:t xml:space="preserve"> maintenance issues related to</w:t>
      </w:r>
      <w:r w:rsidR="00B00448">
        <w:t xml:space="preserve"> CA with unaligned frame boundary</w:t>
      </w:r>
      <w:r>
        <w:t>.</w:t>
      </w:r>
    </w:p>
    <w:p w14:paraId="0C1BDD85" w14:textId="4A169DA3" w:rsidR="004C17F6" w:rsidRDefault="004C17F6" w:rsidP="00B80C3A">
      <w:pPr>
        <w:pStyle w:val="Heading1"/>
        <w:tabs>
          <w:tab w:val="num" w:pos="3544"/>
        </w:tabs>
        <w:spacing w:before="180"/>
        <w:ind w:left="562" w:hanging="562"/>
      </w:pPr>
      <w:r>
        <w:t>Discussion</w:t>
      </w:r>
    </w:p>
    <w:p w14:paraId="60AA579F" w14:textId="09F87D2F" w:rsidR="00B00448" w:rsidRDefault="00B00448" w:rsidP="00B00448">
      <w:pPr>
        <w:pStyle w:val="BodyText"/>
      </w:pPr>
      <w:r>
        <w:t>RAN#89e concluded the following regarding CA w</w:t>
      </w:r>
      <w:bookmarkStart w:id="3" w:name="_GoBack"/>
      <w:bookmarkEnd w:id="3"/>
      <w:r>
        <w:t xml:space="preserve">ith unaligned frame boundary </w:t>
      </w:r>
    </w:p>
    <w:p w14:paraId="4B50D746" w14:textId="77777777" w:rsidR="00B00448" w:rsidRPr="00B00448" w:rsidRDefault="00B00448" w:rsidP="00B00448">
      <w:pPr>
        <w:numPr>
          <w:ilvl w:val="0"/>
          <w:numId w:val="21"/>
        </w:numPr>
        <w:textAlignment w:val="center"/>
        <w:rPr>
          <w:i/>
          <w:iCs/>
          <w:sz w:val="24"/>
          <w:lang w:eastAsia="zh-CN"/>
        </w:rPr>
      </w:pPr>
      <w:r w:rsidRPr="00B00448">
        <w:rPr>
          <w:i/>
          <w:iCs/>
          <w:lang w:eastAsia="zh-CN"/>
        </w:rPr>
        <w:t>Rel-16 inter-band CA with non-aligned frame boundaries support the following cases</w:t>
      </w:r>
      <w:r w:rsidRPr="00B00448">
        <w:rPr>
          <w:i/>
          <w:iCs/>
        </w:rPr>
        <w:t xml:space="preserve"> </w:t>
      </w:r>
    </w:p>
    <w:p w14:paraId="775F7F9A" w14:textId="77777777" w:rsidR="00B00448" w:rsidRPr="00B00448" w:rsidRDefault="00B00448" w:rsidP="00B00448">
      <w:pPr>
        <w:numPr>
          <w:ilvl w:val="1"/>
          <w:numId w:val="21"/>
        </w:numPr>
        <w:textAlignment w:val="center"/>
        <w:rPr>
          <w:i/>
          <w:iCs/>
          <w:lang w:eastAsia="zh-CN"/>
        </w:rPr>
      </w:pPr>
      <w:r w:rsidRPr="00B00448">
        <w:rPr>
          <w:i/>
          <w:iCs/>
          <w:lang w:eastAsia="zh-CN"/>
        </w:rPr>
        <w:t>Case A: Within the same cell group, the lowest subcarrier spacing of the subcarrier spacings given in </w:t>
      </w:r>
      <w:proofErr w:type="spellStart"/>
      <w:r w:rsidRPr="00B00448">
        <w:rPr>
          <w:i/>
          <w:iCs/>
          <w:lang w:eastAsia="zh-CN"/>
        </w:rPr>
        <w:t>scs-SpecificCarrierList</w:t>
      </w:r>
      <w:proofErr w:type="spellEnd"/>
      <w:r w:rsidRPr="00B00448">
        <w:rPr>
          <w:i/>
          <w:iCs/>
          <w:lang w:eastAsia="zh-CN"/>
        </w:rPr>
        <w:t xml:space="preserve"> for </w:t>
      </w:r>
      <w:proofErr w:type="spellStart"/>
      <w:r w:rsidRPr="00B00448">
        <w:rPr>
          <w:i/>
          <w:iCs/>
          <w:lang w:eastAsia="zh-CN"/>
        </w:rPr>
        <w:t>PCell</w:t>
      </w:r>
      <w:proofErr w:type="spellEnd"/>
      <w:r w:rsidRPr="00B00448">
        <w:rPr>
          <w:i/>
          <w:iCs/>
          <w:lang w:eastAsia="zh-CN"/>
        </w:rPr>
        <w:t>/</w:t>
      </w:r>
      <w:proofErr w:type="spellStart"/>
      <w:r w:rsidRPr="00B00448">
        <w:rPr>
          <w:i/>
          <w:iCs/>
          <w:lang w:eastAsia="zh-CN"/>
        </w:rPr>
        <w:t>PSCell</w:t>
      </w:r>
      <w:proofErr w:type="spellEnd"/>
      <w:r w:rsidRPr="00B00448">
        <w:rPr>
          <w:i/>
          <w:iCs/>
          <w:lang w:eastAsia="zh-CN"/>
        </w:rPr>
        <w:t xml:space="preserve"> is smaller than or equal to the lowest subcarrier spacing of the subcarrier spacings given in </w:t>
      </w:r>
      <w:proofErr w:type="spellStart"/>
      <w:r w:rsidRPr="00B00448">
        <w:rPr>
          <w:i/>
          <w:iCs/>
          <w:lang w:eastAsia="zh-CN"/>
        </w:rPr>
        <w:t>scs-SpecificCarrierList</w:t>
      </w:r>
      <w:proofErr w:type="spellEnd"/>
      <w:r w:rsidRPr="00B00448">
        <w:rPr>
          <w:i/>
          <w:iCs/>
          <w:lang w:eastAsia="zh-CN"/>
        </w:rPr>
        <w:t xml:space="preserve"> for each of the </w:t>
      </w:r>
      <w:proofErr w:type="spellStart"/>
      <w:r w:rsidRPr="00B00448">
        <w:rPr>
          <w:i/>
          <w:iCs/>
          <w:lang w:eastAsia="zh-CN"/>
        </w:rPr>
        <w:t>Scells</w:t>
      </w:r>
      <w:proofErr w:type="spellEnd"/>
    </w:p>
    <w:p w14:paraId="25AF3BB8" w14:textId="77777777" w:rsidR="00B00448" w:rsidRPr="00B00448" w:rsidRDefault="00B00448" w:rsidP="00B00448">
      <w:pPr>
        <w:numPr>
          <w:ilvl w:val="1"/>
          <w:numId w:val="22"/>
        </w:numPr>
        <w:textAlignment w:val="center"/>
        <w:rPr>
          <w:i/>
          <w:iCs/>
          <w:lang w:val="en-GB" w:eastAsia="zh-CN"/>
        </w:rPr>
      </w:pPr>
      <w:r w:rsidRPr="00B00448">
        <w:rPr>
          <w:i/>
          <w:iCs/>
          <w:lang w:eastAsia="zh-CN"/>
        </w:rPr>
        <w:t>Case B: Within the same cell group, the lowest subcarrier spacing of the subcarrier spacings given in </w:t>
      </w:r>
      <w:proofErr w:type="spellStart"/>
      <w:r w:rsidRPr="00B00448">
        <w:rPr>
          <w:i/>
          <w:iCs/>
          <w:lang w:eastAsia="zh-CN"/>
        </w:rPr>
        <w:t>scs-SpecificCarrierList</w:t>
      </w:r>
      <w:proofErr w:type="spellEnd"/>
      <w:r w:rsidRPr="00B00448">
        <w:rPr>
          <w:i/>
          <w:iCs/>
          <w:lang w:eastAsia="zh-CN"/>
        </w:rPr>
        <w:t xml:space="preserve"> for </w:t>
      </w:r>
      <w:proofErr w:type="spellStart"/>
      <w:r w:rsidRPr="00B00448">
        <w:rPr>
          <w:i/>
          <w:iCs/>
          <w:lang w:eastAsia="zh-CN"/>
        </w:rPr>
        <w:t>PCell</w:t>
      </w:r>
      <w:proofErr w:type="spellEnd"/>
      <w:r w:rsidRPr="00B00448">
        <w:rPr>
          <w:i/>
          <w:iCs/>
          <w:lang w:eastAsia="zh-CN"/>
        </w:rPr>
        <w:t>/</w:t>
      </w:r>
      <w:proofErr w:type="spellStart"/>
      <w:r w:rsidRPr="00B00448">
        <w:rPr>
          <w:i/>
          <w:iCs/>
          <w:lang w:eastAsia="zh-CN"/>
        </w:rPr>
        <w:t>PSCell</w:t>
      </w:r>
      <w:proofErr w:type="spellEnd"/>
      <w:r w:rsidRPr="00B00448">
        <w:rPr>
          <w:i/>
          <w:iCs/>
          <w:lang w:eastAsia="zh-CN"/>
        </w:rPr>
        <w:t xml:space="preserve"> is larger than the lowest subcarrier spacing of the subcarrier spacings given in </w:t>
      </w:r>
      <w:proofErr w:type="spellStart"/>
      <w:r w:rsidRPr="00B00448">
        <w:rPr>
          <w:i/>
          <w:iCs/>
          <w:lang w:eastAsia="zh-CN"/>
        </w:rPr>
        <w:t>scs-SpecificCarrierList</w:t>
      </w:r>
      <w:proofErr w:type="spellEnd"/>
      <w:r w:rsidRPr="00B00448">
        <w:rPr>
          <w:i/>
          <w:iCs/>
          <w:lang w:eastAsia="zh-CN"/>
        </w:rPr>
        <w:t xml:space="preserve"> for at least one of the </w:t>
      </w:r>
      <w:proofErr w:type="spellStart"/>
      <w:r w:rsidRPr="00B00448">
        <w:rPr>
          <w:i/>
          <w:iCs/>
          <w:lang w:eastAsia="zh-CN"/>
        </w:rPr>
        <w:t>Scells</w:t>
      </w:r>
      <w:proofErr w:type="spellEnd"/>
    </w:p>
    <w:p w14:paraId="4E92D696" w14:textId="77777777" w:rsidR="00B00448" w:rsidRPr="00B00448" w:rsidRDefault="00B00448" w:rsidP="00B00448">
      <w:pPr>
        <w:numPr>
          <w:ilvl w:val="0"/>
          <w:numId w:val="22"/>
        </w:numPr>
        <w:textAlignment w:val="center"/>
        <w:rPr>
          <w:i/>
          <w:iCs/>
          <w:lang w:eastAsia="zh-CN"/>
        </w:rPr>
      </w:pPr>
      <w:r w:rsidRPr="00B00448">
        <w:rPr>
          <w:i/>
          <w:iCs/>
          <w:lang w:eastAsia="zh-CN"/>
        </w:rPr>
        <w:t>How to handle the ambiguities, including SMTC window &amp; DRX timing, for Case B is up to WGs</w:t>
      </w:r>
    </w:p>
    <w:p w14:paraId="723F230A" w14:textId="77777777" w:rsidR="00B00448" w:rsidRPr="00B00448" w:rsidRDefault="00B00448" w:rsidP="00B00448">
      <w:pPr>
        <w:numPr>
          <w:ilvl w:val="0"/>
          <w:numId w:val="22"/>
        </w:numPr>
        <w:textAlignment w:val="center"/>
        <w:rPr>
          <w:i/>
          <w:iCs/>
          <w:lang w:eastAsia="zh-CN"/>
        </w:rPr>
      </w:pPr>
      <w:r w:rsidRPr="00B00448">
        <w:rPr>
          <w:i/>
          <w:iCs/>
          <w:lang w:eastAsia="zh-CN"/>
        </w:rPr>
        <w:t>RAN2 to work on the remaining details on the UE capability signaling to support the above cases separately without impacting ASN.1 backward compatibility once the ambiguities for Case B are resolved</w:t>
      </w:r>
      <w:r w:rsidRPr="00B00448">
        <w:rPr>
          <w:i/>
          <w:iCs/>
        </w:rPr>
        <w:t xml:space="preserve"> </w:t>
      </w:r>
    </w:p>
    <w:p w14:paraId="7B301BB5" w14:textId="77777777" w:rsidR="00B00448" w:rsidRPr="00B00448" w:rsidRDefault="00B00448" w:rsidP="00B00448">
      <w:pPr>
        <w:numPr>
          <w:ilvl w:val="1"/>
          <w:numId w:val="22"/>
        </w:numPr>
        <w:textAlignment w:val="center"/>
        <w:rPr>
          <w:i/>
          <w:iCs/>
          <w:lang w:eastAsia="zh-CN"/>
        </w:rPr>
      </w:pPr>
      <w:r w:rsidRPr="00B00448">
        <w:rPr>
          <w:i/>
          <w:iCs/>
          <w:lang w:eastAsia="zh-CN"/>
        </w:rPr>
        <w:t>For UE capability signaling design, UE capability for Case A is a pre-requisite of UE capability for Case B</w:t>
      </w:r>
    </w:p>
    <w:p w14:paraId="04532C96" w14:textId="4F9F1DDD" w:rsidR="00B00448" w:rsidRDefault="00B00448" w:rsidP="00B00448">
      <w:pPr>
        <w:pStyle w:val="BodyText"/>
      </w:pPr>
    </w:p>
    <w:p w14:paraId="340EB0AA" w14:textId="56259D54" w:rsidR="00AB0746" w:rsidRDefault="00A05F0C" w:rsidP="00B00448">
      <w:pPr>
        <w:pStyle w:val="BodyText"/>
      </w:pPr>
      <w:r>
        <w:t xml:space="preserve">In the RAN#89e discussions, a question was raised about the number of different slot offsets in a band combination. </w:t>
      </w:r>
      <w:r w:rsidR="00AB0746">
        <w:t xml:space="preserve">A related RAN1 agreement is as follows. </w:t>
      </w:r>
    </w:p>
    <w:p w14:paraId="0A2A06B3" w14:textId="77777777" w:rsidR="00AB0746" w:rsidRPr="00AB0746" w:rsidRDefault="00AB0746" w:rsidP="00AB0746">
      <w:pPr>
        <w:rPr>
          <w:rFonts w:ascii="Times" w:hAnsi="Times" w:cs="Times"/>
          <w:i/>
          <w:iCs/>
          <w:szCs w:val="20"/>
          <w:lang w:eastAsia="x-none"/>
        </w:rPr>
      </w:pPr>
      <w:r w:rsidRPr="00AB0746">
        <w:rPr>
          <w:rFonts w:hint="eastAsia"/>
          <w:i/>
          <w:iCs/>
          <w:highlight w:val="green"/>
        </w:rPr>
        <w:t>Agreements</w:t>
      </w:r>
      <w:r w:rsidRPr="00AB0746">
        <w:rPr>
          <w:rFonts w:hint="eastAsia"/>
          <w:i/>
          <w:iCs/>
        </w:rPr>
        <w:t>:</w:t>
      </w:r>
    </w:p>
    <w:p w14:paraId="094FC960" w14:textId="77777777" w:rsidR="00AB0746" w:rsidRPr="00AB0746" w:rsidRDefault="00AB0746" w:rsidP="00AB0746">
      <w:pPr>
        <w:rPr>
          <w:rFonts w:ascii="SimSun" w:hAnsi="SimSun" w:cs="Calibri"/>
          <w:i/>
          <w:iCs/>
          <w:sz w:val="24"/>
          <w:lang w:eastAsia="zh-CN"/>
        </w:rPr>
      </w:pPr>
      <w:r w:rsidRPr="00AB0746">
        <w:rPr>
          <w:rFonts w:hint="eastAsia"/>
          <w:i/>
          <w:iCs/>
          <w:lang w:eastAsia="zh-CN"/>
        </w:rPr>
        <w:t>At most single non-zero offset duration (independent on SCS) can be configured among CCs in the unaligned CA configuration.</w:t>
      </w:r>
    </w:p>
    <w:p w14:paraId="12B14781" w14:textId="77777777" w:rsidR="00AB0746" w:rsidRDefault="00AB0746" w:rsidP="00B00448">
      <w:pPr>
        <w:pStyle w:val="BodyText"/>
      </w:pPr>
    </w:p>
    <w:p w14:paraId="4F5D4EC0" w14:textId="50BADD1D" w:rsidR="000F1F65" w:rsidRDefault="002817E2" w:rsidP="00991BEA">
      <w:pPr>
        <w:pStyle w:val="BodyText"/>
      </w:pPr>
      <w:r>
        <w:t>O</w:t>
      </w:r>
      <w:r w:rsidR="00AB0746">
        <w:t xml:space="preserve">ur understanding </w:t>
      </w:r>
      <w:r w:rsidR="000F1F65">
        <w:t>of the above agreement is</w:t>
      </w:r>
      <w:r w:rsidR="00AB0746">
        <w:t xml:space="preserve"> that </w:t>
      </w:r>
      <w:r w:rsidR="000F1F65">
        <w:t xml:space="preserve">when UE is configured with SCG, </w:t>
      </w:r>
      <w:r w:rsidR="00AB0746">
        <w:t xml:space="preserve">there </w:t>
      </w:r>
      <w:r w:rsidR="00AC1137">
        <w:t>can be</w:t>
      </w:r>
      <w:r w:rsidR="00AB0746">
        <w:t xml:space="preserve"> at most one non-zero offset duration for each cell group and the offset is defined relative to cells within a cell group (similar to RAN#89e conclusion above regarding case A/B). This allows MCG and SCG to independently configure (or not) the slot offsets for a UE. </w:t>
      </w:r>
    </w:p>
    <w:p w14:paraId="2D641430" w14:textId="66ACA08E" w:rsidR="00991BEA" w:rsidRPr="00991BEA" w:rsidRDefault="00AB0746" w:rsidP="00991BEA">
      <w:pPr>
        <w:pStyle w:val="BodyText"/>
      </w:pPr>
      <w:r>
        <w:t xml:space="preserve">On the other hand, </w:t>
      </w:r>
      <w:r w:rsidR="00AC1137">
        <w:t xml:space="preserve"> an alternate interpretation that</w:t>
      </w:r>
      <w:r>
        <w:t xml:space="preserve"> </w:t>
      </w:r>
      <w:r w:rsidR="00AC1137">
        <w:t xml:space="preserve">the </w:t>
      </w:r>
      <w:r>
        <w:t>maximum number of different offsets is 1 even for dual connectivity</w:t>
      </w:r>
      <w:r w:rsidR="00AC1137">
        <w:t xml:space="preserve"> case was discussed in RAN#89e</w:t>
      </w:r>
      <w:r>
        <w:t xml:space="preserve">. While </w:t>
      </w:r>
      <w:r w:rsidR="000F1F65">
        <w:t>this interpretation is different from our understanding</w:t>
      </w:r>
      <w:r>
        <w:t xml:space="preserve"> , we are </w:t>
      </w:r>
      <w:r w:rsidR="00AC1137">
        <w:t xml:space="preserve">also </w:t>
      </w:r>
      <w:r>
        <w:t xml:space="preserve">OK </w:t>
      </w:r>
      <w:r w:rsidR="0085158F">
        <w:t xml:space="preserve">with </w:t>
      </w:r>
      <w:r>
        <w:t xml:space="preserve">one slot offset per UE </w:t>
      </w:r>
      <w:proofErr w:type="gramStart"/>
      <w:r>
        <w:t>as long as</w:t>
      </w:r>
      <w:proofErr w:type="gramEnd"/>
      <w:r>
        <w:t xml:space="preserve"> the </w:t>
      </w:r>
      <w:r w:rsidR="00AC1137">
        <w:t xml:space="preserve">one </w:t>
      </w:r>
      <w:r>
        <w:t xml:space="preserve">slot offset </w:t>
      </w:r>
      <w:r w:rsidR="00AC1137">
        <w:t>is</w:t>
      </w:r>
      <w:r>
        <w:t xml:space="preserve"> defined </w:t>
      </w:r>
      <w:r w:rsidR="00AC1137">
        <w:t xml:space="preserve">to be </w:t>
      </w:r>
      <w:r>
        <w:t xml:space="preserve">within a cell group rather than across the cell groups. </w:t>
      </w:r>
      <w:r w:rsidR="00991BEA" w:rsidRPr="00991BEA">
        <w:t>Slot offset value</w:t>
      </w:r>
      <w:r w:rsidR="00991BEA">
        <w:t xml:space="preserve"> coordination </w:t>
      </w:r>
      <w:r w:rsidR="00991BEA" w:rsidRPr="00991BEA">
        <w:t xml:space="preserve">across cells belong to different cell groups </w:t>
      </w:r>
      <w:r w:rsidR="00991BEA">
        <w:t xml:space="preserve">should </w:t>
      </w:r>
      <w:r w:rsidR="00AC1137">
        <w:t>be avoided</w:t>
      </w:r>
      <w:r w:rsidR="00991BEA">
        <w:t xml:space="preserve">. </w:t>
      </w:r>
    </w:p>
    <w:p w14:paraId="6396A3E1" w14:textId="736734C0" w:rsidR="00AB0746" w:rsidRDefault="00AB0746" w:rsidP="00B00448">
      <w:pPr>
        <w:pStyle w:val="BodyText"/>
      </w:pPr>
    </w:p>
    <w:p w14:paraId="4F6F271F" w14:textId="56C3CD1F" w:rsidR="00991BEA" w:rsidRDefault="0085158F" w:rsidP="00991BEA">
      <w:pPr>
        <w:pStyle w:val="BodyText"/>
        <w:rPr>
          <w:b/>
          <w:bCs/>
        </w:rPr>
      </w:pPr>
      <w:r w:rsidRPr="008A7DA8">
        <w:rPr>
          <w:b/>
          <w:bCs/>
        </w:rPr>
        <w:t xml:space="preserve">Proposal: </w:t>
      </w:r>
      <w:r w:rsidR="00AC1137">
        <w:rPr>
          <w:b/>
          <w:bCs/>
        </w:rPr>
        <w:t>Clarify the RAN#99 agreement according to one of below alternatives</w:t>
      </w:r>
    </w:p>
    <w:p w14:paraId="61A2DE23" w14:textId="77777777" w:rsidR="000F1F65" w:rsidRDefault="00AC1137" w:rsidP="00991BEA">
      <w:pPr>
        <w:pStyle w:val="BodyText"/>
        <w:numPr>
          <w:ilvl w:val="0"/>
          <w:numId w:val="26"/>
        </w:numPr>
        <w:rPr>
          <w:b/>
          <w:bCs/>
        </w:rPr>
      </w:pPr>
      <w:r>
        <w:rPr>
          <w:b/>
          <w:bCs/>
        </w:rPr>
        <w:t xml:space="preserve">Alt 1: </w:t>
      </w:r>
    </w:p>
    <w:p w14:paraId="72D10CE0" w14:textId="28445CA5" w:rsidR="00AC1137" w:rsidRPr="002817E2" w:rsidRDefault="00AC1137" w:rsidP="002817E2">
      <w:pPr>
        <w:pStyle w:val="BodyText"/>
        <w:numPr>
          <w:ilvl w:val="1"/>
          <w:numId w:val="26"/>
        </w:numPr>
        <w:rPr>
          <w:b/>
          <w:bCs/>
        </w:rPr>
      </w:pPr>
      <w:r w:rsidRPr="002817E2">
        <w:rPr>
          <w:lang w:eastAsia="zh-CN"/>
        </w:rPr>
        <w:t xml:space="preserve">At most single non-zero offset duration (independent on SCS) can be configured among CCs </w:t>
      </w:r>
      <w:r w:rsidRPr="002817E2">
        <w:rPr>
          <w:color w:val="FF0000"/>
          <w:u w:val="single"/>
          <w:lang w:eastAsia="zh-CN"/>
        </w:rPr>
        <w:t>of a CG</w:t>
      </w:r>
      <w:r w:rsidRPr="002817E2">
        <w:rPr>
          <w:lang w:eastAsia="zh-CN"/>
        </w:rPr>
        <w:t xml:space="preserve"> in the unaligned CA configuration</w:t>
      </w:r>
    </w:p>
    <w:p w14:paraId="3CB0B951" w14:textId="77777777" w:rsidR="00AC1137" w:rsidRDefault="00AC1137" w:rsidP="00991BEA">
      <w:pPr>
        <w:pStyle w:val="BodyText"/>
        <w:numPr>
          <w:ilvl w:val="0"/>
          <w:numId w:val="26"/>
        </w:numPr>
        <w:rPr>
          <w:b/>
          <w:bCs/>
        </w:rPr>
      </w:pPr>
      <w:r>
        <w:rPr>
          <w:b/>
          <w:bCs/>
        </w:rPr>
        <w:t xml:space="preserve">Alt 2:  </w:t>
      </w:r>
    </w:p>
    <w:p w14:paraId="4E90B211" w14:textId="31E2E043" w:rsidR="00AC1137" w:rsidRPr="002817E2" w:rsidRDefault="00AC1137" w:rsidP="000F1F65">
      <w:pPr>
        <w:pStyle w:val="BodyText"/>
        <w:numPr>
          <w:ilvl w:val="1"/>
          <w:numId w:val="26"/>
        </w:numPr>
        <w:rPr>
          <w:color w:val="FF0000"/>
          <w:u w:val="single"/>
        </w:rPr>
      </w:pPr>
      <w:r w:rsidRPr="002817E2">
        <w:rPr>
          <w:color w:val="FF0000"/>
          <w:u w:val="single"/>
        </w:rPr>
        <w:t>For CA case (i.e., UE</w:t>
      </w:r>
      <w:r w:rsidR="000F1F65" w:rsidRPr="002817E2">
        <w:rPr>
          <w:color w:val="FF0000"/>
          <w:u w:val="single"/>
        </w:rPr>
        <w:t xml:space="preserve"> not configured with SCG</w:t>
      </w:r>
      <w:r w:rsidRPr="002817E2">
        <w:rPr>
          <w:color w:val="FF0000"/>
          <w:u w:val="single"/>
        </w:rPr>
        <w:t>)</w:t>
      </w:r>
    </w:p>
    <w:p w14:paraId="1454E55B" w14:textId="2345844E" w:rsidR="00AC1137" w:rsidRPr="002817E2" w:rsidRDefault="00AC1137" w:rsidP="000F1F65">
      <w:pPr>
        <w:pStyle w:val="BodyText"/>
        <w:numPr>
          <w:ilvl w:val="2"/>
          <w:numId w:val="26"/>
        </w:numPr>
      </w:pPr>
      <w:r w:rsidRPr="002817E2">
        <w:rPr>
          <w:lang w:eastAsia="zh-CN"/>
        </w:rPr>
        <w:t>At most single non-zero offset duration (independent on SCS) can be configured among CCs in the unaligned CA configuration</w:t>
      </w:r>
    </w:p>
    <w:p w14:paraId="082B8E03" w14:textId="22614E79" w:rsidR="00AC1137" w:rsidRPr="002817E2" w:rsidRDefault="00AC1137" w:rsidP="000F1F65">
      <w:pPr>
        <w:pStyle w:val="BodyText"/>
        <w:numPr>
          <w:ilvl w:val="1"/>
          <w:numId w:val="26"/>
        </w:numPr>
        <w:rPr>
          <w:color w:val="FF0000"/>
          <w:u w:val="single"/>
        </w:rPr>
      </w:pPr>
      <w:r w:rsidRPr="002817E2">
        <w:rPr>
          <w:color w:val="FF0000"/>
          <w:u w:val="single"/>
          <w:lang w:eastAsia="zh-CN"/>
        </w:rPr>
        <w:lastRenderedPageBreak/>
        <w:t>For DC case (i.e., UE configured with SCG)</w:t>
      </w:r>
    </w:p>
    <w:p w14:paraId="0A0C2C43" w14:textId="56806C9A" w:rsidR="00AC1137" w:rsidRPr="002817E2" w:rsidRDefault="00AC1137" w:rsidP="002817E2">
      <w:pPr>
        <w:pStyle w:val="BodyText"/>
        <w:numPr>
          <w:ilvl w:val="2"/>
          <w:numId w:val="26"/>
        </w:numPr>
        <w:rPr>
          <w:color w:val="FF0000"/>
          <w:u w:val="single"/>
        </w:rPr>
      </w:pPr>
      <w:r w:rsidRPr="002817E2">
        <w:rPr>
          <w:color w:val="FF0000"/>
          <w:u w:val="single"/>
          <w:lang w:eastAsia="zh-CN"/>
        </w:rPr>
        <w:t xml:space="preserve">At most single non-zero offset duration (independent on SCS) </w:t>
      </w:r>
      <w:r w:rsidR="000F1F65">
        <w:rPr>
          <w:color w:val="FF0000"/>
          <w:u w:val="single"/>
          <w:lang w:eastAsia="zh-CN"/>
        </w:rPr>
        <w:t xml:space="preserve">per UE </w:t>
      </w:r>
      <w:r w:rsidRPr="002817E2">
        <w:rPr>
          <w:color w:val="FF0000"/>
          <w:u w:val="single"/>
          <w:lang w:eastAsia="zh-CN"/>
        </w:rPr>
        <w:t xml:space="preserve">can be configured among </w:t>
      </w:r>
      <w:r w:rsidR="000F1F65">
        <w:rPr>
          <w:color w:val="FF0000"/>
          <w:u w:val="single"/>
          <w:lang w:eastAsia="zh-CN"/>
        </w:rPr>
        <w:t xml:space="preserve">either </w:t>
      </w:r>
      <w:r w:rsidRPr="002817E2">
        <w:rPr>
          <w:color w:val="FF0000"/>
          <w:u w:val="single"/>
          <w:lang w:eastAsia="zh-CN"/>
        </w:rPr>
        <w:t xml:space="preserve">CCs of MCG </w:t>
      </w:r>
      <w:r w:rsidR="000F1F65">
        <w:rPr>
          <w:color w:val="FF0000"/>
          <w:u w:val="single"/>
          <w:lang w:eastAsia="zh-CN"/>
        </w:rPr>
        <w:t xml:space="preserve">only </w:t>
      </w:r>
      <w:r w:rsidRPr="002817E2">
        <w:rPr>
          <w:color w:val="FF0000"/>
          <w:u w:val="single"/>
          <w:lang w:eastAsia="zh-CN"/>
        </w:rPr>
        <w:t xml:space="preserve">or </w:t>
      </w:r>
      <w:r w:rsidR="000F1F65">
        <w:rPr>
          <w:color w:val="FF0000"/>
          <w:u w:val="single"/>
          <w:lang w:eastAsia="zh-CN"/>
        </w:rPr>
        <w:t xml:space="preserve">CCs of </w:t>
      </w:r>
      <w:r w:rsidRPr="002817E2">
        <w:rPr>
          <w:color w:val="FF0000"/>
          <w:u w:val="single"/>
          <w:lang w:eastAsia="zh-CN"/>
        </w:rPr>
        <w:t xml:space="preserve">SCG </w:t>
      </w:r>
      <w:r w:rsidR="000F1F65">
        <w:rPr>
          <w:color w:val="FF0000"/>
          <w:u w:val="single"/>
          <w:lang w:eastAsia="zh-CN"/>
        </w:rPr>
        <w:t xml:space="preserve">only </w:t>
      </w:r>
      <w:r w:rsidRPr="002817E2">
        <w:rPr>
          <w:color w:val="FF0000"/>
          <w:u w:val="single"/>
          <w:lang w:eastAsia="zh-CN"/>
        </w:rPr>
        <w:t>in the unaligned CA configuration</w:t>
      </w:r>
    </w:p>
    <w:p w14:paraId="3089D58D" w14:textId="77777777" w:rsidR="004C17F6" w:rsidRDefault="004C17F6" w:rsidP="00D17B4D">
      <w:pPr>
        <w:pStyle w:val="Heading1"/>
      </w:pPr>
      <w:r>
        <w:t>References</w:t>
      </w:r>
    </w:p>
    <w:p w14:paraId="7FFA5510" w14:textId="200939C4" w:rsidR="00046C86" w:rsidRPr="00A563E3" w:rsidRDefault="002D3CDD" w:rsidP="00991BEA">
      <w:pPr>
        <w:pStyle w:val="Reference"/>
        <w:numPr>
          <w:ilvl w:val="0"/>
          <w:numId w:val="0"/>
        </w:numPr>
      </w:pPr>
      <w:r>
        <w:t xml:space="preserve"> </w:t>
      </w:r>
      <w:r w:rsidR="002E64DF">
        <w:t>[</w:t>
      </w:r>
      <w:r>
        <w:t>1]</w:t>
      </w:r>
      <w:r w:rsidR="002E64DF">
        <w:t xml:space="preserve"> </w:t>
      </w:r>
      <w:r w:rsidR="00B00448" w:rsidRPr="00B00448">
        <w:t>RP-202030,</w:t>
      </w:r>
      <w:r w:rsidR="00B00448">
        <w:t>”</w:t>
      </w:r>
      <w:r w:rsidR="00B00448" w:rsidRPr="00B00448">
        <w:t xml:space="preserve"> Moderator’s Summary for Email Discussion [89E][</w:t>
      </w:r>
      <w:proofErr w:type="gramStart"/>
      <w:r w:rsidR="00B00448" w:rsidRPr="00B00448">
        <w:t>12][</w:t>
      </w:r>
      <w:proofErr w:type="gramEnd"/>
      <w:r w:rsidR="00B00448" w:rsidRPr="00B00448">
        <w:t>R16_DCCA_unaligned_frames]</w:t>
      </w:r>
      <w:r w:rsidR="00B00448">
        <w:t>”, RAN#89e, Sep 2020</w:t>
      </w:r>
    </w:p>
    <w:sectPr w:rsidR="00046C86" w:rsidRPr="00A563E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E4141" w14:textId="77777777" w:rsidR="00ED7496" w:rsidRDefault="00ED7496">
      <w:r>
        <w:separator/>
      </w:r>
    </w:p>
  </w:endnote>
  <w:endnote w:type="continuationSeparator" w:id="0">
    <w:p w14:paraId="16FB7A56" w14:textId="77777777" w:rsidR="00ED7496" w:rsidRDefault="00ED7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C2FDA3" w14:textId="77777777" w:rsidR="00741DBD" w:rsidRDefault="004C17F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8928CA" w14:textId="77777777" w:rsidR="00741DBD" w:rsidRDefault="00ED74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3E6C9" w14:textId="77777777" w:rsidR="00ED7496" w:rsidRDefault="00ED7496">
      <w:r>
        <w:separator/>
      </w:r>
    </w:p>
  </w:footnote>
  <w:footnote w:type="continuationSeparator" w:id="0">
    <w:p w14:paraId="3E87F839" w14:textId="77777777" w:rsidR="00ED7496" w:rsidRDefault="00ED7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92C05" w14:textId="77777777" w:rsidR="00741DBD" w:rsidRDefault="00ED7496" w:rsidP="0055746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A8F33CB"/>
    <w:multiLevelType w:val="multilevel"/>
    <w:tmpl w:val="1FF20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0B86E7B"/>
    <w:multiLevelType w:val="hybridMultilevel"/>
    <w:tmpl w:val="8604B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FB7486C"/>
    <w:multiLevelType w:val="hybridMultilevel"/>
    <w:tmpl w:val="E11EFB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F1A0EEC"/>
    <w:multiLevelType w:val="hybridMultilevel"/>
    <w:tmpl w:val="3836E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B746FF6"/>
    <w:multiLevelType w:val="hybridMultilevel"/>
    <w:tmpl w:val="035C44FE"/>
    <w:lvl w:ilvl="0" w:tplc="6D2A46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A27C98"/>
    <w:multiLevelType w:val="hybridMultilevel"/>
    <w:tmpl w:val="EB748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24109"/>
    <w:multiLevelType w:val="hybridMultilevel"/>
    <w:tmpl w:val="B4303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D6C1A"/>
    <w:multiLevelType w:val="multilevel"/>
    <w:tmpl w:val="E34C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C9860CB"/>
    <w:multiLevelType w:val="hybridMultilevel"/>
    <w:tmpl w:val="542A5C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F77EE7"/>
    <w:multiLevelType w:val="hybridMultilevel"/>
    <w:tmpl w:val="52F4C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3B0E5C"/>
    <w:multiLevelType w:val="hybridMultilevel"/>
    <w:tmpl w:val="20106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30821"/>
    <w:multiLevelType w:val="hybridMultilevel"/>
    <w:tmpl w:val="258E0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0" w15:restartNumberingAfterBreak="0">
    <w:nsid w:val="7EAF5FDE"/>
    <w:multiLevelType w:val="hybridMultilevel"/>
    <w:tmpl w:val="151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4"/>
  </w:num>
  <w:num w:numId="5">
    <w:abstractNumId w:val="2"/>
  </w:num>
  <w:num w:numId="6">
    <w:abstractNumId w:val="11"/>
  </w:num>
  <w:num w:numId="7">
    <w:abstractNumId w:val="6"/>
  </w:num>
  <w:num w:numId="8">
    <w:abstractNumId w:val="18"/>
  </w:num>
  <w:num w:numId="9">
    <w:abstractNumId w:val="19"/>
  </w:num>
  <w:num w:numId="10">
    <w:abstractNumId w:val="19"/>
  </w:num>
  <w:num w:numId="11">
    <w:abstractNumId w:val="20"/>
  </w:num>
  <w:num w:numId="1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5"/>
  </w:num>
  <w:num w:numId="1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6"/>
  </w:num>
  <w:num w:numId="16">
    <w:abstractNumId w:val="13"/>
  </w:num>
  <w:num w:numId="17">
    <w:abstractNumId w:val="19"/>
  </w:num>
  <w:num w:numId="18">
    <w:abstractNumId w:val="8"/>
  </w:num>
  <w:num w:numId="19">
    <w:abstractNumId w:val="3"/>
  </w:num>
  <w:num w:numId="20">
    <w:abstractNumId w:val="5"/>
  </w:num>
  <w:num w:numId="21">
    <w:abstractNumId w:val="1"/>
  </w:num>
  <w:num w:numId="22">
    <w:abstractNumId w:val="14"/>
  </w:num>
  <w:num w:numId="23">
    <w:abstractNumId w:val="11"/>
  </w:num>
  <w:num w:numId="24">
    <w:abstractNumId w:val="10"/>
  </w:num>
  <w:num w:numId="25">
    <w:abstractNumId w:val="17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7F6"/>
    <w:rsid w:val="0000274C"/>
    <w:rsid w:val="00016B77"/>
    <w:rsid w:val="0003536E"/>
    <w:rsid w:val="00043A43"/>
    <w:rsid w:val="00046C86"/>
    <w:rsid w:val="000C27C1"/>
    <w:rsid w:val="000D1167"/>
    <w:rsid w:val="000F1F65"/>
    <w:rsid w:val="0013180A"/>
    <w:rsid w:val="001B5C60"/>
    <w:rsid w:val="001C3B03"/>
    <w:rsid w:val="00214BE4"/>
    <w:rsid w:val="00224B42"/>
    <w:rsid w:val="002479C7"/>
    <w:rsid w:val="00263693"/>
    <w:rsid w:val="002817E2"/>
    <w:rsid w:val="002927D9"/>
    <w:rsid w:val="002D3CDD"/>
    <w:rsid w:val="002D63D3"/>
    <w:rsid w:val="002E64DF"/>
    <w:rsid w:val="003139BD"/>
    <w:rsid w:val="0033396C"/>
    <w:rsid w:val="003978C9"/>
    <w:rsid w:val="003A0E93"/>
    <w:rsid w:val="003A548D"/>
    <w:rsid w:val="003D1852"/>
    <w:rsid w:val="00406B5D"/>
    <w:rsid w:val="00453703"/>
    <w:rsid w:val="004C17F6"/>
    <w:rsid w:val="00534884"/>
    <w:rsid w:val="00536C21"/>
    <w:rsid w:val="0054381E"/>
    <w:rsid w:val="00544FC5"/>
    <w:rsid w:val="0058598B"/>
    <w:rsid w:val="00594128"/>
    <w:rsid w:val="0060045C"/>
    <w:rsid w:val="0065070F"/>
    <w:rsid w:val="00694433"/>
    <w:rsid w:val="006C1D22"/>
    <w:rsid w:val="006E2348"/>
    <w:rsid w:val="007363B9"/>
    <w:rsid w:val="007A57D2"/>
    <w:rsid w:val="008324E7"/>
    <w:rsid w:val="0085158F"/>
    <w:rsid w:val="00861678"/>
    <w:rsid w:val="008756F2"/>
    <w:rsid w:val="008A5782"/>
    <w:rsid w:val="008A7DA8"/>
    <w:rsid w:val="008B0368"/>
    <w:rsid w:val="008C79C4"/>
    <w:rsid w:val="008E0A95"/>
    <w:rsid w:val="008F567D"/>
    <w:rsid w:val="00900A89"/>
    <w:rsid w:val="00915705"/>
    <w:rsid w:val="00991BEA"/>
    <w:rsid w:val="009E4167"/>
    <w:rsid w:val="00A05F0C"/>
    <w:rsid w:val="00A47998"/>
    <w:rsid w:val="00A563E3"/>
    <w:rsid w:val="00A8240D"/>
    <w:rsid w:val="00AA54A3"/>
    <w:rsid w:val="00AB0746"/>
    <w:rsid w:val="00AC1137"/>
    <w:rsid w:val="00AF67EF"/>
    <w:rsid w:val="00B00448"/>
    <w:rsid w:val="00B1251B"/>
    <w:rsid w:val="00B324D1"/>
    <w:rsid w:val="00B360BC"/>
    <w:rsid w:val="00B45620"/>
    <w:rsid w:val="00B80C3A"/>
    <w:rsid w:val="00BE50E8"/>
    <w:rsid w:val="00BF2396"/>
    <w:rsid w:val="00C05347"/>
    <w:rsid w:val="00C17192"/>
    <w:rsid w:val="00C2025D"/>
    <w:rsid w:val="00C65D26"/>
    <w:rsid w:val="00CC787D"/>
    <w:rsid w:val="00D17B4D"/>
    <w:rsid w:val="00D60669"/>
    <w:rsid w:val="00D62713"/>
    <w:rsid w:val="00D87DB3"/>
    <w:rsid w:val="00E04424"/>
    <w:rsid w:val="00E22E89"/>
    <w:rsid w:val="00E273F7"/>
    <w:rsid w:val="00E33530"/>
    <w:rsid w:val="00E537D4"/>
    <w:rsid w:val="00E551A8"/>
    <w:rsid w:val="00EB4BD0"/>
    <w:rsid w:val="00ED5EF2"/>
    <w:rsid w:val="00ED7496"/>
    <w:rsid w:val="00EF7F05"/>
    <w:rsid w:val="00F06959"/>
    <w:rsid w:val="00F50AFE"/>
    <w:rsid w:val="00F54936"/>
    <w:rsid w:val="00F9071B"/>
    <w:rsid w:val="00FA09D7"/>
    <w:rsid w:val="00FA507F"/>
    <w:rsid w:val="00FF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D92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7F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4C17F6"/>
    <w:pPr>
      <w:keepNext/>
      <w:numPr>
        <w:numId w:val="1"/>
      </w:numPr>
      <w:tabs>
        <w:tab w:val="left" w:pos="1134"/>
      </w:tabs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4C17F6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4C17F6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4C17F6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17F6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4C17F6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4C17F6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C17F6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C17F6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4C17F6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4C17F6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4C17F6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17F6"/>
    <w:rPr>
      <w:rFonts w:ascii="Arial" w:eastAsia="MS Mincho" w:hAnsi="Arial" w:cs="Times New Roman"/>
      <w:b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4C17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17F6"/>
    <w:rPr>
      <w:rFonts w:ascii="Times New Roman" w:eastAsia="Times New Roman" w:hAnsi="Times New Roman" w:cs="Times New Roman"/>
      <w:sz w:val="20"/>
      <w:szCs w:val="24"/>
    </w:rPr>
  </w:style>
  <w:style w:type="paragraph" w:styleId="NormalWeb">
    <w:name w:val="Normal (Web)"/>
    <w:basedOn w:val="Normal"/>
    <w:uiPriority w:val="99"/>
    <w:unhideWhenUsed/>
    <w:qFormat/>
    <w:rsid w:val="004C17F6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customStyle="1" w:styleId="Reference">
    <w:name w:val="Reference"/>
    <w:basedOn w:val="BodyText"/>
    <w:rsid w:val="004C17F6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Cs w:val="20"/>
      <w:lang w:val="en-GB" w:eastAsia="zh-CN"/>
    </w:rPr>
  </w:style>
  <w:style w:type="character" w:styleId="Hyperlink">
    <w:name w:val="Hyperlink"/>
    <w:uiPriority w:val="99"/>
    <w:rsid w:val="004C17F6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17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paragraph" w:styleId="ListNumber">
    <w:name w:val="List Number"/>
    <w:basedOn w:val="List"/>
    <w:rsid w:val="004C17F6"/>
    <w:pPr>
      <w:numPr>
        <w:numId w:val="7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420"/>
      <w:contextualSpacing w:val="0"/>
      <w:jc w:val="both"/>
      <w:textAlignment w:val="baseline"/>
    </w:pPr>
    <w:rPr>
      <w:rFonts w:ascii="Arial" w:hAnsi="Arial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4C17F6"/>
    <w:pPr>
      <w:overflowPunct w:val="0"/>
      <w:autoSpaceDE w:val="0"/>
      <w:autoSpaceDN w:val="0"/>
      <w:adjustRightInd w:val="0"/>
      <w:spacing w:after="120"/>
      <w:ind w:left="568" w:hanging="284"/>
      <w:contextualSpacing w:val="0"/>
      <w:jc w:val="both"/>
      <w:textAlignment w:val="baseline"/>
    </w:pPr>
    <w:rPr>
      <w:szCs w:val="20"/>
      <w:lang w:val="en-GB" w:eastAsia="zh-CN"/>
    </w:rPr>
  </w:style>
  <w:style w:type="paragraph" w:customStyle="1" w:styleId="B2">
    <w:name w:val="B2"/>
    <w:basedOn w:val="List2"/>
    <w:link w:val="B2Char"/>
    <w:qFormat/>
    <w:rsid w:val="004C17F6"/>
    <w:pPr>
      <w:overflowPunct w:val="0"/>
      <w:autoSpaceDE w:val="0"/>
      <w:autoSpaceDN w:val="0"/>
      <w:adjustRightInd w:val="0"/>
      <w:spacing w:after="120"/>
      <w:ind w:left="851" w:hanging="284"/>
      <w:contextualSpacing w:val="0"/>
      <w:jc w:val="both"/>
      <w:textAlignment w:val="baseline"/>
    </w:pPr>
    <w:rPr>
      <w:szCs w:val="20"/>
      <w:lang w:val="en-GB" w:eastAsia="ja-JP"/>
    </w:rPr>
  </w:style>
  <w:style w:type="character" w:customStyle="1" w:styleId="B1Char1">
    <w:name w:val="B1 Char1"/>
    <w:link w:val="B1"/>
    <w:qFormat/>
    <w:rsid w:val="004C17F6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B2Char">
    <w:name w:val="B2 Char"/>
    <w:link w:val="B2"/>
    <w:qFormat/>
    <w:rsid w:val="004C17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Emphasis">
    <w:name w:val="Emphasis"/>
    <w:uiPriority w:val="20"/>
    <w:qFormat/>
    <w:rsid w:val="004C17F6"/>
    <w:rPr>
      <w:i/>
      <w:iCs/>
    </w:rPr>
  </w:style>
  <w:style w:type="paragraph" w:styleId="List">
    <w:name w:val="List"/>
    <w:basedOn w:val="Normal"/>
    <w:uiPriority w:val="99"/>
    <w:semiHidden/>
    <w:unhideWhenUsed/>
    <w:rsid w:val="004C17F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C17F6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73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3F7"/>
    <w:rPr>
      <w:rFonts w:ascii="Segoe UI" w:eastAsia="Times New Roman" w:hAnsi="Segoe UI" w:cs="Segoe UI"/>
      <w:sz w:val="18"/>
      <w:szCs w:val="18"/>
    </w:rPr>
  </w:style>
  <w:style w:type="paragraph" w:customStyle="1" w:styleId="TAC">
    <w:name w:val="TAC"/>
    <w:basedOn w:val="Normal"/>
    <w:link w:val="TACChar"/>
    <w:qFormat/>
    <w:rsid w:val="00E22E89"/>
    <w:pPr>
      <w:keepNext/>
      <w:keepLines/>
      <w:jc w:val="center"/>
    </w:pPr>
    <w:rPr>
      <w:rFonts w:ascii="Arial" w:eastAsia="SimSun" w:hAnsi="Arial"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E22E89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x-none"/>
    </w:rPr>
  </w:style>
  <w:style w:type="paragraph" w:customStyle="1" w:styleId="B3">
    <w:name w:val="B3"/>
    <w:basedOn w:val="Normal"/>
    <w:link w:val="B3Char"/>
    <w:qFormat/>
    <w:rsid w:val="00E22E89"/>
    <w:pPr>
      <w:spacing w:after="180"/>
      <w:ind w:left="1135" w:hanging="284"/>
    </w:pPr>
    <w:rPr>
      <w:rFonts w:eastAsia="SimSun"/>
      <w:szCs w:val="20"/>
      <w:lang w:val="x-none"/>
    </w:rPr>
  </w:style>
  <w:style w:type="paragraph" w:customStyle="1" w:styleId="B4">
    <w:name w:val="B4"/>
    <w:basedOn w:val="Normal"/>
    <w:qFormat/>
    <w:rsid w:val="00E22E89"/>
    <w:pPr>
      <w:spacing w:after="180"/>
      <w:ind w:left="1418" w:hanging="284"/>
    </w:pPr>
    <w:rPr>
      <w:rFonts w:eastAsia="SimSun"/>
      <w:szCs w:val="20"/>
      <w:lang w:val="en-GB"/>
    </w:rPr>
  </w:style>
  <w:style w:type="character" w:customStyle="1" w:styleId="B1Zchn">
    <w:name w:val="B1 Zchn"/>
    <w:qFormat/>
    <w:rsid w:val="00E22E89"/>
    <w:rPr>
      <w:lang w:eastAsia="en-US"/>
    </w:rPr>
  </w:style>
  <w:style w:type="character" w:customStyle="1" w:styleId="THChar">
    <w:name w:val="TH Char"/>
    <w:link w:val="TH"/>
    <w:qFormat/>
    <w:rsid w:val="00E22E89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CChar">
    <w:name w:val="TAC Char"/>
    <w:link w:val="TAC"/>
    <w:qFormat/>
    <w:locked/>
    <w:rsid w:val="00E22E89"/>
    <w:rPr>
      <w:rFonts w:ascii="Arial" w:eastAsia="SimSun" w:hAnsi="Arial" w:cs="Times New Roman"/>
      <w:sz w:val="18"/>
      <w:szCs w:val="20"/>
      <w:lang w:val="x-none"/>
    </w:rPr>
  </w:style>
  <w:style w:type="character" w:customStyle="1" w:styleId="B3Char">
    <w:name w:val="B3 Char"/>
    <w:link w:val="B3"/>
    <w:rsid w:val="00E22E89"/>
    <w:rPr>
      <w:rFonts w:ascii="Times New Roman" w:eastAsia="SimSun" w:hAnsi="Times New Roman" w:cs="Times New Roman"/>
      <w:sz w:val="20"/>
      <w:szCs w:val="20"/>
      <w:lang w:val="x-none"/>
    </w:rPr>
  </w:style>
  <w:style w:type="paragraph" w:customStyle="1" w:styleId="textintend1">
    <w:name w:val="text intend 1"/>
    <w:basedOn w:val="Normal"/>
    <w:rsid w:val="00E22E89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apple-converted-space">
    <w:name w:val="apple-converted-space"/>
    <w:basedOn w:val="DefaultParagraphFont"/>
    <w:qFormat/>
    <w:rsid w:val="00E22E89"/>
  </w:style>
  <w:style w:type="paragraph" w:customStyle="1" w:styleId="EQ">
    <w:name w:val="EQ"/>
    <w:basedOn w:val="Normal"/>
    <w:next w:val="Normal"/>
    <w:rsid w:val="00AA54A3"/>
    <w:pPr>
      <w:keepLines/>
      <w:tabs>
        <w:tab w:val="center" w:pos="4536"/>
        <w:tab w:val="right" w:pos="9072"/>
      </w:tabs>
      <w:spacing w:after="180"/>
    </w:pPr>
    <w:rPr>
      <w:noProof/>
      <w:szCs w:val="20"/>
      <w:lang w:val="en-GB"/>
    </w:rPr>
  </w:style>
  <w:style w:type="paragraph" w:customStyle="1" w:styleId="CharChar3CharCharCharCharCharChar">
    <w:name w:val="Char Char3 Char Char Char Char Char Char"/>
    <w:semiHidden/>
    <w:rsid w:val="00AA54A3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FP">
    <w:name w:val="FP"/>
    <w:basedOn w:val="Normal"/>
    <w:rsid w:val="00AA54A3"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8B03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87DB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171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19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19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1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192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H">
    <w:name w:val="TAH"/>
    <w:basedOn w:val="TAC"/>
    <w:link w:val="TAHCar"/>
    <w:qFormat/>
    <w:rsid w:val="000D1167"/>
    <w:rPr>
      <w:b/>
      <w:lang w:val="en-GB"/>
    </w:rPr>
  </w:style>
  <w:style w:type="character" w:customStyle="1" w:styleId="TAHCar">
    <w:name w:val="TAH Car"/>
    <w:link w:val="TAH"/>
    <w:qFormat/>
    <w:rsid w:val="000D1167"/>
    <w:rPr>
      <w:rFonts w:ascii="Arial" w:eastAsia="SimSu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2020-10-16T23:50:00Z</dcterms:created>
  <dcterms:modified xsi:type="dcterms:W3CDTF">2020-10-17T00:14:00Z</dcterms:modified>
</cp:coreProperties>
</file>